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בהסתכלות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ויתארו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חוייתית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שמתחשק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0A">
      <w:pPr>
        <w:rPr>
          <w:rFonts w:ascii="Assistant" w:cs="Assistant" w:eastAsia="Assistant" w:hAnsi="Assistant"/>
          <w:sz w:val="24"/>
          <w:szCs w:val="24"/>
        </w:rPr>
      </w:pP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https://youtube.com/shorts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ברמקול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ייכנסו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ורוקד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מדוייק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מתחלפים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color w:val="404040"/>
          <w:sz w:val="24"/>
          <w:szCs w:val="24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פגשתי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  <w:br w:type="textWrapping"/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בראי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, </w:t>
        <w:br w:type="textWrapping"/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לבשתי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, </w:t>
        <w:br w:type="textWrapping"/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לבש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color w:val="40404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אמרתי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נדמה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שאתה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." </w:t>
        <w:br w:type="textWrapping"/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, </w:t>
        <w:br w:type="textWrapping"/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. </w:t>
        <w:br w:type="textWrapping"/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, </w:t>
        <w:br w:type="textWrapping"/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color w:val="404040"/>
          <w:sz w:val="24"/>
          <w:szCs w:val="24"/>
          <w:rtl w:val="1"/>
        </w:rPr>
        <w:t xml:space="preserve">.״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be.com/shorts/TI5rggwOC0k?si=35bs_G6OMyBcI01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