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פינת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איכות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הסביבה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ילמד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המשמעות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ילמד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מקיימת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ייצור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חיובי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נופים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נפזר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מנופים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ומגוונים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פרחים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נהר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וכדומה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יבחר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ויסביר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בתמונה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בכיס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תצפית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לסביבת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הקרובה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יקבל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תואר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המלאך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המלאך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מדבקות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המלאך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לתעד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שחיובי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בסביבה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צמחיה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כחולים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המלאך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לתעד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ששלילי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בסביבה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גרפיטי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הממצאים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מביאים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חזרה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התצפית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מצאתם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חיוביים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שליליים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הפרשנות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לממצאים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איכותית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"?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סמל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להישאר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וליצור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חיובי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לאיכות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המתאר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הטובה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בתמונות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הנופים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ששמרו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בכיס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מתחילת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המסרים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נחבר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משותף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שנתלה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סביבתו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מסבירים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שמחוץ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לחדר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שולחן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הפתעות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במתוקים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וחטיפים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מגבלה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נערוך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הגרלה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יכנס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בתורו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לחדר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וייקח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הפתעות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שירצה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הגבלה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לעצמו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להשאיר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ברגע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לוקח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לעצמו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לוקח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עוזר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מספיק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משתדל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מספיק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למען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השאר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יפגע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פגיעה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ישירה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המתודה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שיכולה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מתסכלת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לוודא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האחרונים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מקבלים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עניין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קשור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כלשהי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לגבי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הקרובה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