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פעלנו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הקבוצתי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במצגת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וסרטונים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והתהליך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(25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נעמוד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ובאמצע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נניח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יזכיר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ויעביר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שיתבקש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להזכיר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וזכרונות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מההתנדבות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מהפעולות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מהתהליך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ולהחזיק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בעודנו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מחזיקים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התבלגן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להיזכר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בעצמכם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והחוויות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קירבו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יזמנו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והתנסנו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שנקראת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״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ודורש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ולעתיד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לקפל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שתרמתי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ונכון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השקעתי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ונתתי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הרווחתי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שלדעתי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