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תאונות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הסיכונים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בטיחות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לבטיחות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טריוויה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מתאונות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500,000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1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מיליון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250,000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1.2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מיליון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פצועים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מתאונות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מיליון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מיליון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25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מיליון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500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אלף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3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הגבוה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במדינה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200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1500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700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300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4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נהרגו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-30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אלף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-50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אלף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אלף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אלף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הנמוך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במדינה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550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145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450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6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נהגי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רכב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פרטיים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הולכי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רגל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נוסעים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משאיות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7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המרכזי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תקלות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ברכב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בכביש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ציות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לחוקים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8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העולמית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תאונות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800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דולר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900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מיליארד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דולר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) 500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מיליארד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דולר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הכרתם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הנתונים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הופתעתם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מהנתונים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תאונת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מתרחשת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בתאונה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מזעזעים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מעידים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שזהו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הסכנה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הגדולה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בימינו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יאלתר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שישימו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מוטלת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לרמוז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צודק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ולבדוק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חתונות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מהנדס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המהנדס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שחייבים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לחזק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יחזקו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כשיהיו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500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תקרוס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תדאג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."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ופצועים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ההמבורגרים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למסיבת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ההמבורגרים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נהיגה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לחברו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המכונית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ההמבורגרים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רישיון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לנהוג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."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תאונה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ברכבו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לרכוב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אופניים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בקסדה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ובמגינים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וחברו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ללבוש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רוכב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האופניים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."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מתהפכים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שלשניהם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שמתעסקים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בטלפון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הנהיגה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מתבייש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לסבך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הגדול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…"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שהעירו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הפסיק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להתעסק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בטלפון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הפסיק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והמשטרה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הרישיון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מהנפגעים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נפגעים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ונוצרה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תרבות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נרחב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מהציבור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שההקשבה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’,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לבטיחות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בטיחות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והבנו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ההשפעה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בבטחה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בוקר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קדימות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להולכי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במעברי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חצייה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לרכוב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בקסדה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להתבייש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ישתמשו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בטלפון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נהיגה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בשמירה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ישמשו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