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ולקבל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החלטות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המוגמר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שתכננו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שמאחוריה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שהשתמשו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במלאכת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ההסברים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גמר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פריסת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הטכניקות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והחומרים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השנה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זוחלים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המבוך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מכניסים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אטומה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שהשתמשם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בתורה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מכניסה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מוציאה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מהמישוש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כיסוי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במרוכז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בשתי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בפירוק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בחשיבה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לאחור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מהתוצר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המוגמר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ואחורה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לשלבים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שצריכים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והעמקה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)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ביטחון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)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באולינג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והטכניקה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הפיסול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עושות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השלבים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בתיקיה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שתכננו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בהישג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להשקיע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מתחזק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מתכוננים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הסברים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הכולל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שמאחוריה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הטכניקות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שהשתמשו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והתהליך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האורחים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במוזיאון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ימלאו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הרצויים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ומשפחה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עשויה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כשיצרתי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שעיקרה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במלאכת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המוזמנים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הדוכנים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להצגת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לאלבד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עבור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השולחנות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דוכנים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שלטים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שמותיהם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ההסברים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מקופל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כך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שיעמוד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לאורחים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יחסית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במדפסת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יצבעו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ויקשטו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יעתיקו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ויקשטו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להזמינך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המזמינים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מנהלת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6.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השקת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התערוכה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תקדישו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ההסברים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האורחים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שמאושר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אורחים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אסתטית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ההסברים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אורחים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ולהזמין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אורחים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