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בצוות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תפקידו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יחווה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הסתכלות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המצב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שחלפה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יגלה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להסתכל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ולבחור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מתארת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ההתנדבות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ההתנדבות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ולצבוע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ממוקמת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מסתכלת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נמצאת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יבחרו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השתנה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והביא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מספריים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יגזור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המתארות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ידביק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הבריסטול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ויצייר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מקווקו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ביניהן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המקווקו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זוכר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שגרמו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לקשט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הבריסטול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ולהוסיף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יחליט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הבריסטול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למזכרת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הבריסטולים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יתלה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